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E61824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Б1.О.02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E61824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6E5720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0A5619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FF065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E61824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</w:t>
            </w:r>
            <w:r w:rsidR="006E5720">
              <w:rPr>
                <w:lang w:eastAsia="zh-CN"/>
              </w:rPr>
              <w:t>«Баян, аккордеон и струнные щипковые инструменты»</w:t>
            </w:r>
            <w:r>
              <w:rPr>
                <w:lang w:eastAsia="zh-CN"/>
              </w:rPr>
              <w:t xml:space="preserve">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61824" w:rsidTr="00131F4C">
        <w:tc>
          <w:tcPr>
            <w:tcW w:w="968" w:type="pct"/>
          </w:tcPr>
          <w:p w:rsidR="00E61824" w:rsidRPr="000A1895" w:rsidRDefault="00E61824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61824" w:rsidRPr="00617C60" w:rsidRDefault="00E61824" w:rsidP="00B1361E">
            <w:pPr>
              <w:jc w:val="both"/>
              <w:rPr>
                <w:rFonts w:eastAsia="Calibri"/>
              </w:rPr>
            </w:pPr>
            <w:r w:rsidRPr="00617C60">
              <w:rPr>
                <w:rFonts w:eastAsia="Calibri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E61824" w:rsidRPr="00B27923" w:rsidTr="00131F4C">
        <w:tc>
          <w:tcPr>
            <w:tcW w:w="968" w:type="pct"/>
          </w:tcPr>
          <w:p w:rsidR="00E61824" w:rsidRPr="00B27923" w:rsidRDefault="00E61824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61824" w:rsidRDefault="00E61824" w:rsidP="00B1361E">
            <w:r w:rsidRPr="00617C60">
              <w:rPr>
                <w:rFonts w:eastAsia="Calibri"/>
                <w:b/>
              </w:rPr>
              <w:t>Ряполов С.В.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BC6059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95157734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«История мировой философии»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>
        <w:t>«М</w:t>
      </w:r>
      <w:r w:rsidRPr="002B7408">
        <w:t>иров</w:t>
      </w:r>
      <w:r>
        <w:t>ая философия</w:t>
      </w:r>
      <w:r w:rsidRPr="002B7408">
        <w:t xml:space="preserve">» определены соответствующей рабочей программой дисциплины; трудоемкость </w:t>
      </w:r>
      <w:r>
        <w:t>38</w:t>
      </w:r>
      <w:r w:rsidRPr="002B7408">
        <w:t xml:space="preserve"> акад. часов. </w:t>
      </w:r>
    </w:p>
    <w:p w:rsidR="00752926" w:rsidRPr="002B7408" w:rsidRDefault="00752926" w:rsidP="00752926">
      <w:pPr>
        <w:ind w:firstLine="709"/>
        <w:jc w:val="both"/>
      </w:pPr>
      <w:r w:rsidRPr="002B7408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52926" w:rsidRPr="002B7408" w:rsidRDefault="00752926" w:rsidP="0075292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52926" w:rsidRPr="00792DC6" w:rsidRDefault="00752926" w:rsidP="0075292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навыков.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>
        <w:t xml:space="preserve">итоговую </w:t>
      </w:r>
      <w:r w:rsidRPr="00792DC6">
        <w:t>оценку текущей успеваемости студента по дисциплине.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jc w:val="both"/>
      </w:pP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lastRenderedPageBreak/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E61824">
        <w:rPr>
          <w:b/>
        </w:rPr>
        <w:t>Мировая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</w:t>
            </w:r>
          </w:p>
        </w:tc>
      </w:tr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72</w:t>
            </w:r>
          </w:p>
        </w:tc>
      </w:tr>
      <w:tr w:rsidR="00E6182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1824" w:rsidRPr="001A00A3" w:rsidRDefault="00E6182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54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Pr="005B7CA6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>- для очной формы обучения:</w:t>
      </w: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E61824" w:rsidRPr="0083711C" w:rsidTr="00B1361E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семестры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3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8</w:t>
            </w:r>
          </w:p>
        </w:tc>
      </w:tr>
      <w:tr w:rsidR="00E61824" w:rsidRPr="0083711C" w:rsidTr="00B1361E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38</w:t>
            </w:r>
          </w:p>
        </w:tc>
      </w:tr>
      <w:tr w:rsidR="00E61824" w:rsidRPr="0083711C" w:rsidTr="00B1361E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</w:tr>
      <w:tr w:rsidR="00E61824" w:rsidRPr="0083711C" w:rsidTr="00B1361E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ДЗ</w:t>
            </w:r>
          </w:p>
        </w:tc>
      </w:tr>
      <w:tr w:rsidR="00E61824" w:rsidRPr="0083711C" w:rsidTr="00B1361E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</w:tr>
      <w:tr w:rsidR="00E61824" w:rsidRPr="0083711C" w:rsidTr="00B1361E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3C49B5" w:rsidRPr="005B7CA6" w:rsidRDefault="003C49B5" w:rsidP="003C49B5">
      <w:pP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- для заочной формы обучения:</w:t>
      </w:r>
    </w:p>
    <w:p w:rsidR="003C49B5" w:rsidRPr="005B7CA6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E61824" w:rsidRPr="0083711C" w:rsidTr="00B1361E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семестры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10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2</w:t>
            </w:r>
          </w:p>
        </w:tc>
      </w:tr>
      <w:tr w:rsidR="00E61824" w:rsidRPr="0083711C" w:rsidTr="00B1361E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26</w:t>
            </w:r>
          </w:p>
        </w:tc>
      </w:tr>
      <w:tr w:rsidR="00E61824" w:rsidRPr="0083711C" w:rsidTr="00B1361E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</w:tr>
      <w:tr w:rsidR="00E61824" w:rsidRPr="0083711C" w:rsidTr="00B1361E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1824" w:rsidRPr="0083711C" w:rsidRDefault="00E61824" w:rsidP="00B1361E">
            <w:pPr>
              <w:rPr>
                <w:color w:val="000000"/>
              </w:rPr>
            </w:pPr>
            <w:r w:rsidRPr="0083711C">
              <w:rPr>
                <w:color w:val="000000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color w:val="000000"/>
              </w:rPr>
            </w:pPr>
            <w:r w:rsidRPr="0083711C">
              <w:rPr>
                <w:color w:val="000000"/>
              </w:rPr>
              <w:t>4</w:t>
            </w:r>
          </w:p>
        </w:tc>
      </w:tr>
      <w:tr w:rsidR="00E61824" w:rsidRPr="0083711C" w:rsidTr="00B1361E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36</w:t>
            </w:r>
          </w:p>
        </w:tc>
      </w:tr>
      <w:tr w:rsidR="00E61824" w:rsidRPr="0083711C" w:rsidTr="00B1361E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61824" w:rsidRPr="0083711C" w:rsidRDefault="00E61824" w:rsidP="00B1361E">
            <w:pPr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1824" w:rsidRPr="0083711C" w:rsidRDefault="00E61824" w:rsidP="00B1361E">
            <w:pPr>
              <w:jc w:val="center"/>
              <w:rPr>
                <w:b/>
                <w:bCs/>
                <w:color w:val="000000"/>
              </w:rPr>
            </w:pPr>
            <w:r w:rsidRPr="0083711C">
              <w:rPr>
                <w:b/>
                <w:bCs/>
                <w:color w:val="000000"/>
              </w:rPr>
              <w:t>1</w:t>
            </w:r>
          </w:p>
        </w:tc>
      </w:tr>
    </w:tbl>
    <w:p w:rsidR="00752926" w:rsidRDefault="0075292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p w:rsidR="00752926" w:rsidRDefault="00752926">
      <w:pPr>
        <w:spacing w:after="160" w:line="259" w:lineRule="auto"/>
        <w:rPr>
          <w:rFonts w:eastAsia="Calibri"/>
        </w:rPr>
      </w:pPr>
      <w:r>
        <w:rPr>
          <w:rFonts w:eastAsia="Calibri"/>
        </w:rPr>
        <w:br w:type="page"/>
      </w:r>
    </w:p>
    <w:p w:rsidR="00752926" w:rsidRPr="00792DC6" w:rsidRDefault="00752926" w:rsidP="0075292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52926" w:rsidRDefault="00752926" w:rsidP="0075292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2"/>
    </w:p>
    <w:p w:rsidR="00752926" w:rsidRPr="00752926" w:rsidRDefault="00752926" w:rsidP="00752926"/>
    <w:p w:rsidR="00752926" w:rsidRPr="002B7408" w:rsidRDefault="00752926" w:rsidP="0075292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>Самостоятельная работа студентов по дисциплине «</w:t>
      </w:r>
      <w:r>
        <w:rPr>
          <w:bCs/>
        </w:rPr>
        <w:t>Мировая</w:t>
      </w:r>
      <w:r w:rsidRPr="002B7408">
        <w:rPr>
          <w:bCs/>
        </w:rPr>
        <w:t xml:space="preserve"> филос</w:t>
      </w:r>
      <w:r>
        <w:rPr>
          <w:bCs/>
        </w:rPr>
        <w:t>офия</w:t>
      </w:r>
      <w:r w:rsidRPr="002B7408">
        <w:rPr>
          <w:bCs/>
        </w:rPr>
        <w:t>»</w:t>
      </w:r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right"/>
        <w:rPr>
          <w:bCs/>
          <w:iCs/>
        </w:rPr>
      </w:pPr>
      <w:r w:rsidRPr="002B7408">
        <w:rPr>
          <w:bCs/>
        </w:rPr>
        <w:t xml:space="preserve"> </w:t>
      </w:r>
      <w:r w:rsidRPr="002B7408">
        <w:rPr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54"/>
        <w:gridCol w:w="1588"/>
      </w:tblGrid>
      <w:tr w:rsidR="00752926" w:rsidRPr="00792DC6" w:rsidTr="00752926">
        <w:tc>
          <w:tcPr>
            <w:tcW w:w="562" w:type="dxa"/>
          </w:tcPr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752926" w:rsidRPr="00792DC6" w:rsidRDefault="00752926" w:rsidP="00B1361E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54" w:type="dxa"/>
          </w:tcPr>
          <w:p w:rsidR="00752926" w:rsidRPr="00792DC6" w:rsidRDefault="00752926" w:rsidP="00B1361E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  <w:tc>
          <w:tcPr>
            <w:tcW w:w="1588" w:type="dxa"/>
          </w:tcPr>
          <w:p w:rsidR="00752926" w:rsidRPr="00792DC6" w:rsidRDefault="00752926" w:rsidP="00B1361E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Трудоемкость в часах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  <w:bookmarkStart w:id="3" w:name="_Hlk1124627"/>
            <w:bookmarkStart w:id="4" w:name="_Hlk1124641"/>
          </w:p>
        </w:tc>
        <w:tc>
          <w:tcPr>
            <w:tcW w:w="3330" w:type="dxa"/>
          </w:tcPr>
          <w:p w:rsidR="00752926" w:rsidRPr="00792DC6" w:rsidRDefault="00752926" w:rsidP="00B1361E">
            <w:r w:rsidRPr="00792DC6">
              <w:t>Тема 1. Предмет и метод философии, ее структура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752926" w:rsidRPr="00792DC6" w:rsidRDefault="00752926" w:rsidP="00B1361E">
            <w:r w:rsidRPr="00792DC6">
              <w:t>Тема 2. Философия Древнего Востока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bookmarkEnd w:id="3"/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3. Античная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4. Средневековая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5. Европейская философия эпохи Возрождения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6. Европейская философия XVII–XVIII в.</w:t>
            </w:r>
          </w:p>
        </w:tc>
        <w:tc>
          <w:tcPr>
            <w:tcW w:w="4154" w:type="dxa"/>
          </w:tcPr>
          <w:p w:rsidR="00752926" w:rsidRPr="00792DC6" w:rsidRDefault="00752926" w:rsidP="00B1361E">
            <w:r>
              <w:t>Текущий</w:t>
            </w:r>
            <w:r w:rsidRPr="00792DC6">
              <w:t xml:space="preserve"> контроль  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7. Немецкая классическая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 xml:space="preserve">Работа с учебно-методической и научной литературой. Поиск информации по теме. Анализ и конспектирование основной и </w:t>
            </w:r>
            <w:r w:rsidRPr="00792DC6">
              <w:lastRenderedPageBreak/>
              <w:t>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lastRenderedPageBreak/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Pr="006473E1">
              <w:t xml:space="preserve"> Учения о сущности человека в философии ХХ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1. Античная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2. Философия Нового времени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 w:rsidRPr="00792DC6">
              <w:t>Тема семинара 3. Философия ХХ в.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752926" w:rsidRPr="00792DC6" w:rsidTr="00752926">
        <w:tc>
          <w:tcPr>
            <w:tcW w:w="562" w:type="dxa"/>
          </w:tcPr>
          <w:p w:rsidR="00752926" w:rsidRPr="00792DC6" w:rsidRDefault="00752926" w:rsidP="00752926">
            <w:pPr>
              <w:pStyle w:val="a9"/>
              <w:numPr>
                <w:ilvl w:val="0"/>
                <w:numId w:val="24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52926" w:rsidRPr="00792DC6" w:rsidRDefault="00752926" w:rsidP="00B1361E">
            <w:r>
              <w:t>Тема семинара 4. Глобализация и современная философия</w:t>
            </w:r>
          </w:p>
        </w:tc>
        <w:tc>
          <w:tcPr>
            <w:tcW w:w="4154" w:type="dxa"/>
          </w:tcPr>
          <w:p w:rsidR="00752926" w:rsidRPr="00792DC6" w:rsidRDefault="00752926" w:rsidP="00B1361E">
            <w:r w:rsidRPr="00792DC6">
              <w:t>Доклад (презентация)</w:t>
            </w:r>
            <w:r>
              <w:t>; Подготовка к зачету</w:t>
            </w: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</w:tr>
      <w:bookmarkEnd w:id="4"/>
      <w:tr w:rsidR="00752926" w:rsidRPr="00792DC6" w:rsidTr="00752926">
        <w:tc>
          <w:tcPr>
            <w:tcW w:w="562" w:type="dxa"/>
          </w:tcPr>
          <w:p w:rsidR="00752926" w:rsidRPr="00792DC6" w:rsidRDefault="00752926" w:rsidP="00B1361E"/>
        </w:tc>
        <w:tc>
          <w:tcPr>
            <w:tcW w:w="3330" w:type="dxa"/>
          </w:tcPr>
          <w:p w:rsidR="00752926" w:rsidRPr="00792DC6" w:rsidRDefault="00752926" w:rsidP="00B1361E">
            <w:pPr>
              <w:jc w:val="right"/>
              <w:rPr>
                <w:b/>
              </w:rPr>
            </w:pPr>
            <w:r w:rsidRPr="00792DC6">
              <w:rPr>
                <w:b/>
              </w:rPr>
              <w:t xml:space="preserve">Всего часов </w:t>
            </w:r>
            <w:r w:rsidRPr="00792DC6">
              <w:rPr>
                <w:b/>
              </w:rPr>
              <w:br/>
              <w:t xml:space="preserve">самостоятельной работы </w:t>
            </w:r>
          </w:p>
        </w:tc>
        <w:tc>
          <w:tcPr>
            <w:tcW w:w="4154" w:type="dxa"/>
          </w:tcPr>
          <w:p w:rsidR="00752926" w:rsidRPr="00792DC6" w:rsidRDefault="00752926" w:rsidP="00B1361E">
            <w:pPr>
              <w:jc w:val="right"/>
              <w:rPr>
                <w:b/>
              </w:rPr>
            </w:pPr>
          </w:p>
        </w:tc>
        <w:tc>
          <w:tcPr>
            <w:tcW w:w="1588" w:type="dxa"/>
            <w:vAlign w:val="center"/>
          </w:tcPr>
          <w:p w:rsidR="00752926" w:rsidRPr="00792DC6" w:rsidRDefault="00752926" w:rsidP="00B1361E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</w:tbl>
    <w:p w:rsidR="00752926" w:rsidRPr="00EA099E" w:rsidRDefault="00752926" w:rsidP="0075292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13140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5"/>
    </w:p>
    <w:p w:rsidR="00752926" w:rsidRPr="00792DC6" w:rsidRDefault="00752926" w:rsidP="0075292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6"/>
    </w:p>
    <w:p w:rsidR="00752926" w:rsidRPr="002B7408" w:rsidRDefault="00752926" w:rsidP="0075292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752926" w:rsidRPr="002B7408" w:rsidRDefault="00752926" w:rsidP="0075292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52926" w:rsidRPr="002B7408" w:rsidRDefault="00752926" w:rsidP="0075292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52926" w:rsidRDefault="00752926" w:rsidP="0075292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 тестового контроля – 0,1 часа на одного студента (преподаватель фиксирует отметку, которую выставляет программа).</w:t>
      </w:r>
    </w:p>
    <w:p w:rsidR="00752926" w:rsidRPr="00792DC6" w:rsidRDefault="00752926" w:rsidP="0075292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</w:p>
    <w:p w:rsidR="00752926" w:rsidRDefault="00752926" w:rsidP="0075292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3.2.  Методические рекомендации для студентов по отдельным формам самостоятельной работы</w:t>
      </w:r>
      <w:bookmarkEnd w:id="7"/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52926" w:rsidRPr="00752926" w:rsidRDefault="00752926" w:rsidP="00752926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6"/>
        <w:gridCol w:w="2096"/>
        <w:gridCol w:w="6918"/>
      </w:tblGrid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При работе с учебно-методической и научной литературой необходимо подобрать литературу, научиться правильно ее читать, вести записи.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 и научной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>
              <w:t xml:space="preserve">Текущее </w:t>
            </w:r>
            <w:r w:rsidRPr="00792DC6">
              <w:t>тестирование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50 % вопросов теста, не проходит аттестационное тестирование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перечитывание написанного текста и сравнение его с текстом учебной книги;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повторное перечитывание материала с продумыванием его по частям;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752926" w:rsidRPr="00792DC6" w:rsidRDefault="00752926" w:rsidP="00B1361E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И, конечно,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752926" w:rsidRPr="00792DC6" w:rsidTr="00B1361E">
        <w:tc>
          <w:tcPr>
            <w:tcW w:w="55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52926" w:rsidRPr="00792DC6" w:rsidRDefault="00752926" w:rsidP="00B1361E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752926" w:rsidRPr="00792DC6" w:rsidRDefault="00752926" w:rsidP="00B1361E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752926" w:rsidRPr="00792DC6" w:rsidRDefault="00752926" w:rsidP="00B1361E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752926" w:rsidRPr="002B7408" w:rsidRDefault="00752926" w:rsidP="0075292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t>Подготовка к экзаменам и зачетам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Наличие хороших собственных конспектов лекций окажет неоценимую помощь при подготовке к экзамену или зачету. Ведение конспекта поможет обдумать, снять возникшие вопросы для того, чтобы запоминание материала было осознанным. 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При подготовке к экзаменам у студента должен быть хороший учебник или конспект литературы, прочитанной по указанию преподавателя в течение семестра. Сначала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752926" w:rsidRPr="002B7408" w:rsidRDefault="00752926" w:rsidP="0075292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752926" w:rsidRPr="00792DC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52926" w:rsidRDefault="00752926" w:rsidP="0075292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Можно подготовить «шпаргалки» (но на экзамене ими пользоваться нельзя). Выбор самой важной и актуальной информации, размещение ее в минимизированной, тезисной форме позволит систематизировать и оптимизировать знания по данному предмету.</w:t>
      </w:r>
    </w:p>
    <w:p w:rsidR="00752926" w:rsidRPr="00792DC6" w:rsidRDefault="00752926" w:rsidP="00752926">
      <w:pPr>
        <w:ind w:firstLine="720"/>
        <w:jc w:val="both"/>
        <w:rPr>
          <w:b/>
        </w:rPr>
      </w:pPr>
    </w:p>
    <w:p w:rsidR="00752926" w:rsidRDefault="00752926" w:rsidP="00752926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color w:val="000000" w:themeColor="text1"/>
          <w:sz w:val="28"/>
          <w:szCs w:val="28"/>
        </w:rPr>
        <w:t>Оценка работы студента</w:t>
      </w:r>
    </w:p>
    <w:p w:rsidR="00752926" w:rsidRPr="00752926" w:rsidRDefault="00752926" w:rsidP="0075292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752926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Pr="00E15DB4" w:rsidRDefault="00752926" w:rsidP="00752926">
            <w:pPr>
              <w:pStyle w:val="a9"/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52926" w:rsidRDefault="00752926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752926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752926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/>
              </w:rPr>
            </w:pPr>
          </w:p>
        </w:tc>
      </w:tr>
      <w:tr w:rsidR="00752926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Default="00752926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752926" w:rsidRDefault="00752926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52926" w:rsidRDefault="00752926" w:rsidP="00B1361E">
            <w:pPr>
              <w:jc w:val="both"/>
              <w:rPr>
                <w:i/>
              </w:rPr>
            </w:pPr>
          </w:p>
          <w:p w:rsidR="00752926" w:rsidRDefault="00752926" w:rsidP="00B1361E">
            <w:pPr>
              <w:jc w:val="both"/>
              <w:rPr>
                <w:i/>
              </w:rPr>
            </w:pPr>
          </w:p>
          <w:p w:rsidR="00752926" w:rsidRDefault="00752926" w:rsidP="00B1361E">
            <w:pPr>
              <w:jc w:val="both"/>
            </w:pPr>
            <w:r>
              <w:rPr>
                <w:i/>
              </w:rPr>
              <w:t>Зачтено / не зачтено</w:t>
            </w:r>
          </w:p>
        </w:tc>
      </w:tr>
    </w:tbl>
    <w:p w:rsidR="00752926" w:rsidRDefault="00752926" w:rsidP="00752926">
      <w:pPr>
        <w:jc w:val="center"/>
        <w:rPr>
          <w:b/>
        </w:rPr>
      </w:pPr>
    </w:p>
    <w:p w:rsidR="00752926" w:rsidRDefault="00752926" w:rsidP="00752926">
      <w:pPr>
        <w:jc w:val="center"/>
        <w:rPr>
          <w:b/>
        </w:rPr>
      </w:pPr>
    </w:p>
    <w:p w:rsidR="00752926" w:rsidRPr="00C2700D" w:rsidRDefault="00752926" w:rsidP="00752926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52926" w:rsidTr="00B1361E">
        <w:trPr>
          <w:tblHeader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752926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52926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752926" w:rsidRDefault="00752926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752926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752926" w:rsidRDefault="00752926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752926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52926" w:rsidRDefault="00752926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752926" w:rsidRDefault="00752926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52926" w:rsidRDefault="00752926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97B66" w:rsidRDefault="00E97B6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sectPr w:rsidR="00E97B66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42" w:rsidRDefault="00660C42" w:rsidP="003B0C2A">
      <w:r>
        <w:separator/>
      </w:r>
    </w:p>
  </w:endnote>
  <w:endnote w:type="continuationSeparator" w:id="0">
    <w:p w:rsidR="00660C42" w:rsidRDefault="00660C42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619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42" w:rsidRDefault="00660C42" w:rsidP="003B0C2A">
      <w:r>
        <w:separator/>
      </w:r>
    </w:p>
  </w:footnote>
  <w:footnote w:type="continuationSeparator" w:id="0">
    <w:p w:rsidR="00660C42" w:rsidRDefault="00660C42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8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3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20"/>
  </w:num>
  <w:num w:numId="21">
    <w:abstractNumId w:val="17"/>
  </w:num>
  <w:num w:numId="22">
    <w:abstractNumId w:val="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5619"/>
    <w:rsid w:val="000C56D4"/>
    <w:rsid w:val="000D26B2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7A09"/>
    <w:rsid w:val="003B0C2A"/>
    <w:rsid w:val="003B1EF4"/>
    <w:rsid w:val="003C49B5"/>
    <w:rsid w:val="004167CE"/>
    <w:rsid w:val="00460765"/>
    <w:rsid w:val="004A57E2"/>
    <w:rsid w:val="004E1DBD"/>
    <w:rsid w:val="00575520"/>
    <w:rsid w:val="00596529"/>
    <w:rsid w:val="005B5904"/>
    <w:rsid w:val="00660C42"/>
    <w:rsid w:val="0067641E"/>
    <w:rsid w:val="006A4A93"/>
    <w:rsid w:val="006B42DF"/>
    <w:rsid w:val="006E5720"/>
    <w:rsid w:val="00752926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1824"/>
    <w:rsid w:val="00E67761"/>
    <w:rsid w:val="00E77E52"/>
    <w:rsid w:val="00E97B66"/>
    <w:rsid w:val="00ED312A"/>
    <w:rsid w:val="00EE0356"/>
    <w:rsid w:val="00F05133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5292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5292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DFCE5-FC6A-406D-BBD6-326ADC70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6</Pages>
  <Words>3833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65</cp:revision>
  <cp:lastPrinted>2019-06-01T12:16:00Z</cp:lastPrinted>
  <dcterms:created xsi:type="dcterms:W3CDTF">2019-01-25T12:18:00Z</dcterms:created>
  <dcterms:modified xsi:type="dcterms:W3CDTF">2022-02-27T17:10:00Z</dcterms:modified>
</cp:coreProperties>
</file>